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ED19" w14:textId="77777777" w:rsidR="00BC0A23" w:rsidRDefault="00BC0A23" w:rsidP="006263EB">
      <w:pPr>
        <w:jc w:val="center"/>
        <w:rPr>
          <w:rFonts w:eastAsia="Calibri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42D3D" wp14:editId="026841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7385" cy="73152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r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EA2C8" w14:textId="77777777" w:rsidR="006263EB" w:rsidRDefault="00CB2A4B" w:rsidP="00B311AB">
      <w:pPr>
        <w:ind w:left="2160" w:firstLine="720"/>
        <w:rPr>
          <w:rFonts w:eastAsia="Calibri" w:cs="Arial"/>
          <w:b/>
          <w:sz w:val="32"/>
          <w:szCs w:val="32"/>
        </w:rPr>
      </w:pPr>
      <w:r>
        <w:rPr>
          <w:rFonts w:eastAsia="Calibri" w:cs="Arial"/>
          <w:b/>
          <w:sz w:val="32"/>
          <w:szCs w:val="32"/>
        </w:rPr>
        <w:t>Malaria</w:t>
      </w:r>
      <w:r w:rsidR="0024485A">
        <w:rPr>
          <w:rFonts w:eastAsia="Calibri" w:cs="Arial"/>
          <w:b/>
          <w:sz w:val="32"/>
          <w:szCs w:val="32"/>
        </w:rPr>
        <w:t>–</w:t>
      </w:r>
      <w:r w:rsidR="006263EB" w:rsidRPr="00E23A19">
        <w:rPr>
          <w:rFonts w:eastAsia="Calibri" w:cs="Arial"/>
          <w:b/>
          <w:sz w:val="32"/>
          <w:szCs w:val="32"/>
        </w:rPr>
        <w:t>Information for Clinicians</w:t>
      </w:r>
    </w:p>
    <w:p w14:paraId="6FC7D687" w14:textId="36F327BB" w:rsidR="00BC0A23" w:rsidRPr="00DA430B" w:rsidRDefault="00BC0A23" w:rsidP="00BC0A23">
      <w:pPr>
        <w:tabs>
          <w:tab w:val="left" w:pos="4230"/>
          <w:tab w:val="left" w:pos="7800"/>
        </w:tabs>
        <w:outlineLvl w:val="0"/>
      </w:pPr>
      <w:r>
        <w:tab/>
      </w:r>
      <w:r w:rsidR="006937CB">
        <w:t xml:space="preserve">             </w:t>
      </w:r>
      <w:r w:rsidR="00D131D7">
        <w:t>6/2</w:t>
      </w:r>
      <w:r w:rsidRPr="00DA430B">
        <w:t>/20</w:t>
      </w:r>
      <w:r w:rsidR="00D3630B">
        <w:t>2</w:t>
      </w:r>
      <w:r w:rsidR="00C97E04">
        <w:t>3</w:t>
      </w:r>
    </w:p>
    <w:p w14:paraId="607DED41" w14:textId="77777777" w:rsidR="00BC0A23" w:rsidRDefault="00BC0A23" w:rsidP="006263EB">
      <w:pPr>
        <w:rPr>
          <w:rFonts w:eastAsia="Calibri" w:cs="Arial"/>
          <w:b/>
          <w:sz w:val="32"/>
          <w:szCs w:val="32"/>
        </w:rPr>
      </w:pPr>
    </w:p>
    <w:p w14:paraId="5A03CC53" w14:textId="77777777" w:rsidR="00BC0A23" w:rsidRDefault="00BC0A23" w:rsidP="006263EB">
      <w:pPr>
        <w:rPr>
          <w:rFonts w:cs="Arial"/>
          <w:b/>
          <w:szCs w:val="22"/>
        </w:rPr>
      </w:pPr>
    </w:p>
    <w:p w14:paraId="5EC273B4" w14:textId="4E329187" w:rsidR="006263EB" w:rsidRPr="00AF2CAE" w:rsidRDefault="006263EB" w:rsidP="006263EB">
      <w:pPr>
        <w:rPr>
          <w:rFonts w:cs="Arial"/>
          <w:b/>
          <w:szCs w:val="22"/>
        </w:rPr>
      </w:pPr>
      <w:r w:rsidRPr="00AF2CAE">
        <w:rPr>
          <w:rFonts w:cs="Arial"/>
          <w:b/>
          <w:szCs w:val="22"/>
        </w:rPr>
        <w:t xml:space="preserve">Please contact </w:t>
      </w:r>
      <w:r w:rsidR="004A1527">
        <w:rPr>
          <w:rFonts w:cs="Arial"/>
          <w:b/>
          <w:szCs w:val="22"/>
        </w:rPr>
        <w:t xml:space="preserve">your </w:t>
      </w:r>
      <w:r w:rsidRPr="00AF2CAE">
        <w:rPr>
          <w:rFonts w:cs="Arial"/>
          <w:b/>
          <w:szCs w:val="22"/>
        </w:rPr>
        <w:t>County Health Department</w:t>
      </w:r>
      <w:r w:rsidR="00231990">
        <w:rPr>
          <w:rFonts w:cs="Arial"/>
          <w:b/>
          <w:szCs w:val="22"/>
        </w:rPr>
        <w:t xml:space="preserve"> (CHD)</w:t>
      </w:r>
      <w:r w:rsidRPr="00AF2CAE">
        <w:rPr>
          <w:rFonts w:cs="Arial"/>
          <w:b/>
          <w:szCs w:val="22"/>
        </w:rPr>
        <w:t xml:space="preserve"> by the next business day if you suspect </w:t>
      </w:r>
      <w:r>
        <w:rPr>
          <w:rFonts w:cs="Arial"/>
          <w:b/>
          <w:szCs w:val="22"/>
        </w:rPr>
        <w:t xml:space="preserve">a patient has </w:t>
      </w:r>
      <w:r w:rsidR="00CB2A4B">
        <w:rPr>
          <w:rFonts w:cs="Arial"/>
          <w:b/>
          <w:szCs w:val="22"/>
        </w:rPr>
        <w:t>malaria</w:t>
      </w:r>
      <w:r w:rsidR="00231990">
        <w:rPr>
          <w:rFonts w:cs="Arial"/>
          <w:b/>
          <w:szCs w:val="22"/>
        </w:rPr>
        <w:t>.</w:t>
      </w:r>
      <w:r w:rsidR="00D131D7" w:rsidRPr="00D131D7">
        <w:rPr>
          <w:rFonts w:cs="Arial"/>
          <w:b/>
          <w:bCs/>
        </w:rPr>
        <w:t xml:space="preserve"> </w:t>
      </w:r>
    </w:p>
    <w:p w14:paraId="64DD9B47" w14:textId="77777777" w:rsidR="006263EB" w:rsidRPr="002913B0" w:rsidRDefault="006263EB" w:rsidP="006263EB">
      <w:pPr>
        <w:rPr>
          <w:rFonts w:cs="Arial"/>
          <w:szCs w:val="22"/>
        </w:rPr>
      </w:pPr>
    </w:p>
    <w:p w14:paraId="42113F24" w14:textId="428DB77C" w:rsidR="00D131D7" w:rsidRDefault="004858D0" w:rsidP="00D131D7">
      <w:pPr>
        <w:rPr>
          <w:rFonts w:cs="Arial"/>
          <w:b/>
          <w:szCs w:val="22"/>
        </w:rPr>
      </w:pPr>
      <w:r>
        <w:rPr>
          <w:rFonts w:cs="Arial"/>
          <w:szCs w:val="22"/>
        </w:rPr>
        <w:t>Mal</w:t>
      </w:r>
      <w:r w:rsidR="00A72FCC">
        <w:rPr>
          <w:rFonts w:cs="Arial"/>
          <w:szCs w:val="22"/>
        </w:rPr>
        <w:t xml:space="preserve">aria is a serious and potentially fatal disease caused by any of four species of protozoan parasites of the genus </w:t>
      </w:r>
      <w:r w:rsidR="00A72FCC" w:rsidRPr="00A72FCC">
        <w:rPr>
          <w:rFonts w:cs="Arial"/>
          <w:i/>
          <w:szCs w:val="22"/>
        </w:rPr>
        <w:t>Plasmodium</w:t>
      </w:r>
      <w:r w:rsidR="00A72FCC">
        <w:rPr>
          <w:rFonts w:cs="Arial"/>
          <w:szCs w:val="22"/>
        </w:rPr>
        <w:t xml:space="preserve">: </w:t>
      </w:r>
      <w:r w:rsidR="00A72FCC" w:rsidRPr="00A72FCC">
        <w:rPr>
          <w:rFonts w:cs="Arial"/>
          <w:i/>
          <w:szCs w:val="22"/>
        </w:rPr>
        <w:t>P. falciparum</w:t>
      </w:r>
      <w:r w:rsidR="00A72FCC">
        <w:rPr>
          <w:rFonts w:cs="Arial"/>
          <w:szCs w:val="22"/>
        </w:rPr>
        <w:t xml:space="preserve">, </w:t>
      </w:r>
      <w:r w:rsidR="00A72FCC" w:rsidRPr="00A72FCC">
        <w:rPr>
          <w:rFonts w:cs="Arial"/>
          <w:i/>
          <w:szCs w:val="22"/>
        </w:rPr>
        <w:t>P. vivax</w:t>
      </w:r>
      <w:r w:rsidR="00A72FCC">
        <w:rPr>
          <w:rFonts w:cs="Arial"/>
          <w:szCs w:val="22"/>
        </w:rPr>
        <w:t xml:space="preserve">, </w:t>
      </w:r>
      <w:r w:rsidR="00A72FCC" w:rsidRPr="00A72FCC">
        <w:rPr>
          <w:rFonts w:cs="Arial"/>
          <w:i/>
          <w:szCs w:val="22"/>
        </w:rPr>
        <w:t>P. malariae</w:t>
      </w:r>
      <w:r w:rsidR="00A72FCC">
        <w:rPr>
          <w:rFonts w:cs="Arial"/>
          <w:szCs w:val="22"/>
        </w:rPr>
        <w:t xml:space="preserve">, and </w:t>
      </w:r>
      <w:r w:rsidR="00A72FCC" w:rsidRPr="00A72FCC">
        <w:rPr>
          <w:rFonts w:cs="Arial"/>
          <w:i/>
          <w:szCs w:val="22"/>
        </w:rPr>
        <w:t>P. ovale</w:t>
      </w:r>
      <w:r w:rsidR="00A72FCC">
        <w:rPr>
          <w:rFonts w:cs="Arial"/>
          <w:szCs w:val="22"/>
        </w:rPr>
        <w:t xml:space="preserve">. Infection with </w:t>
      </w:r>
      <w:r w:rsidR="00A72FCC" w:rsidRPr="00A72FCC">
        <w:rPr>
          <w:rFonts w:cs="Arial"/>
          <w:i/>
          <w:szCs w:val="22"/>
        </w:rPr>
        <w:t>P. falciparum</w:t>
      </w:r>
      <w:r w:rsidR="00A72FCC">
        <w:rPr>
          <w:rFonts w:cs="Arial"/>
          <w:szCs w:val="22"/>
        </w:rPr>
        <w:t xml:space="preserve"> is most likely to result in severe malaria and death if not promptly treated.</w:t>
      </w:r>
      <w:r w:rsidR="006263EB">
        <w:rPr>
          <w:rFonts w:cs="Arial"/>
          <w:szCs w:val="22"/>
        </w:rPr>
        <w:t xml:space="preserve"> </w:t>
      </w:r>
      <w:r w:rsidR="00C97E04">
        <w:rPr>
          <w:rFonts w:cs="Arial"/>
          <w:szCs w:val="22"/>
        </w:rPr>
        <w:t xml:space="preserve">Infection with </w:t>
      </w:r>
      <w:r w:rsidR="00E33787" w:rsidRPr="00512854">
        <w:rPr>
          <w:rFonts w:cs="Arial"/>
          <w:i/>
          <w:iCs/>
          <w:szCs w:val="22"/>
        </w:rPr>
        <w:t>P. vivax</w:t>
      </w:r>
      <w:r w:rsidR="00E33787">
        <w:rPr>
          <w:rFonts w:cs="Arial"/>
          <w:szCs w:val="22"/>
        </w:rPr>
        <w:t xml:space="preserve"> or </w:t>
      </w:r>
      <w:r w:rsidR="00E33787" w:rsidRPr="00512854">
        <w:rPr>
          <w:rFonts w:cs="Arial"/>
          <w:i/>
          <w:iCs/>
          <w:szCs w:val="22"/>
        </w:rPr>
        <w:t>P. ovale</w:t>
      </w:r>
      <w:r w:rsidR="00E33787">
        <w:rPr>
          <w:rFonts w:cs="Arial"/>
          <w:szCs w:val="22"/>
        </w:rPr>
        <w:t xml:space="preserve"> may result in chronic infection, with parasites remaining dormant in the liver, causing relapsing episodes.</w:t>
      </w:r>
      <w:r w:rsidR="00D131D7" w:rsidRPr="00D131D7">
        <w:rPr>
          <w:rFonts w:cs="Arial"/>
          <w:b/>
          <w:szCs w:val="22"/>
        </w:rPr>
        <w:t xml:space="preserve"> </w:t>
      </w:r>
      <w:r w:rsidR="00D131D7" w:rsidRPr="000A100B">
        <w:rPr>
          <w:rFonts w:cs="Arial"/>
          <w:b/>
          <w:szCs w:val="22"/>
        </w:rPr>
        <w:t xml:space="preserve">Suspected or confirmed malaria, particularly </w:t>
      </w:r>
      <w:r w:rsidR="00D131D7" w:rsidRPr="000A100B">
        <w:rPr>
          <w:rFonts w:cs="Arial"/>
          <w:b/>
          <w:i/>
          <w:szCs w:val="22"/>
        </w:rPr>
        <w:t>P. falciparum</w:t>
      </w:r>
      <w:r w:rsidR="00D131D7" w:rsidRPr="000A100B">
        <w:rPr>
          <w:rFonts w:cs="Arial"/>
          <w:b/>
          <w:szCs w:val="22"/>
        </w:rPr>
        <w:t>, is a medical emergency and should be treated urgently and aggressively.</w:t>
      </w:r>
    </w:p>
    <w:p w14:paraId="638EFEAA" w14:textId="77777777" w:rsidR="006263EB" w:rsidRDefault="006263EB" w:rsidP="006263EB">
      <w:pPr>
        <w:rPr>
          <w:rFonts w:cs="Arial"/>
          <w:b/>
          <w:sz w:val="20"/>
        </w:rPr>
      </w:pPr>
    </w:p>
    <w:p w14:paraId="7FCCB996" w14:textId="77777777" w:rsidR="006263EB" w:rsidRDefault="006263EB" w:rsidP="006263EB">
      <w:pPr>
        <w:rPr>
          <w:rFonts w:cs="Arial"/>
          <w:b/>
          <w:szCs w:val="22"/>
        </w:rPr>
      </w:pPr>
      <w:r w:rsidRPr="008618CB">
        <w:rPr>
          <w:rFonts w:cs="Arial"/>
          <w:b/>
          <w:szCs w:val="22"/>
        </w:rPr>
        <w:t>Transmission</w:t>
      </w:r>
      <w:r w:rsidRPr="008618CB">
        <w:rPr>
          <w:rFonts w:cs="Arial"/>
          <w:szCs w:val="22"/>
        </w:rPr>
        <w:t xml:space="preserve"> occurs through the bite of an infected </w:t>
      </w:r>
      <w:r w:rsidR="0096161C" w:rsidRPr="0096161C">
        <w:rPr>
          <w:rFonts w:cs="Arial"/>
          <w:i/>
          <w:szCs w:val="22"/>
        </w:rPr>
        <w:t>Anopheles</w:t>
      </w:r>
      <w:r w:rsidR="0096161C">
        <w:rPr>
          <w:rFonts w:cs="Arial"/>
          <w:szCs w:val="22"/>
        </w:rPr>
        <w:t xml:space="preserve"> </w:t>
      </w:r>
      <w:r w:rsidRPr="008618CB">
        <w:rPr>
          <w:rFonts w:cs="Arial"/>
          <w:szCs w:val="22"/>
        </w:rPr>
        <w:t>mosquito</w:t>
      </w:r>
      <w:r w:rsidR="0096161C">
        <w:rPr>
          <w:rFonts w:cs="Arial"/>
          <w:szCs w:val="22"/>
        </w:rPr>
        <w:t xml:space="preserve">. Malaria may also be transmitted from mother to fetus in utero or to neonate at parturition. </w:t>
      </w:r>
      <w:r w:rsidR="0096161C" w:rsidRPr="00AF2CAE">
        <w:rPr>
          <w:rFonts w:cs="Arial"/>
          <w:b/>
          <w:szCs w:val="22"/>
        </w:rPr>
        <w:t>An infected person should avoid mosquito bites while ill to prevent infection of local mosquitoes.</w:t>
      </w:r>
    </w:p>
    <w:p w14:paraId="6BF8BD08" w14:textId="77777777" w:rsidR="006D67D3" w:rsidRDefault="006D67D3" w:rsidP="006263EB">
      <w:pPr>
        <w:rPr>
          <w:rFonts w:cs="Arial"/>
          <w:b/>
          <w:szCs w:val="22"/>
        </w:rPr>
      </w:pPr>
    </w:p>
    <w:p w14:paraId="4078BA64" w14:textId="77777777" w:rsidR="006D67D3" w:rsidRPr="006D67D3" w:rsidRDefault="006D67D3" w:rsidP="006263EB">
      <w:pPr>
        <w:rPr>
          <w:rFonts w:cs="Arial"/>
          <w:szCs w:val="22"/>
        </w:rPr>
      </w:pPr>
      <w:r>
        <w:rPr>
          <w:rFonts w:cs="Arial"/>
          <w:szCs w:val="22"/>
        </w:rPr>
        <w:t>Area</w:t>
      </w:r>
      <w:r w:rsidRPr="006D67D3">
        <w:rPr>
          <w:rFonts w:cs="Arial"/>
          <w:szCs w:val="22"/>
        </w:rPr>
        <w:t xml:space="preserve">s </w:t>
      </w:r>
      <w:r>
        <w:rPr>
          <w:rFonts w:cs="Arial"/>
          <w:szCs w:val="22"/>
        </w:rPr>
        <w:t xml:space="preserve">with endemic malaria transmission include Africa, South and Southeast Asia, the Middle East, Central America including Mexico, and South America. </w:t>
      </w:r>
    </w:p>
    <w:p w14:paraId="72936A1D" w14:textId="77777777" w:rsidR="006263EB" w:rsidRPr="008618CB" w:rsidRDefault="006263EB" w:rsidP="006263EB">
      <w:pPr>
        <w:rPr>
          <w:rFonts w:cs="Arial"/>
          <w:b/>
          <w:sz w:val="20"/>
        </w:rPr>
      </w:pPr>
    </w:p>
    <w:p w14:paraId="1C5AC7EF" w14:textId="77777777" w:rsidR="006263EB" w:rsidRPr="00AF2CAE" w:rsidRDefault="006263EB" w:rsidP="006263EB">
      <w:pPr>
        <w:rPr>
          <w:rFonts w:cs="Arial"/>
          <w:szCs w:val="22"/>
        </w:rPr>
      </w:pPr>
      <w:r w:rsidRPr="00AF2CAE">
        <w:rPr>
          <w:rFonts w:cs="Arial"/>
          <w:b/>
          <w:szCs w:val="22"/>
        </w:rPr>
        <w:t>Incubation</w:t>
      </w:r>
      <w:r>
        <w:rPr>
          <w:rFonts w:cs="Arial"/>
          <w:szCs w:val="22"/>
        </w:rPr>
        <w:t xml:space="preserve"> </w:t>
      </w:r>
      <w:r w:rsidRPr="00E00DA8">
        <w:rPr>
          <w:rFonts w:cs="Arial"/>
          <w:b/>
          <w:szCs w:val="22"/>
        </w:rPr>
        <w:t>period</w:t>
      </w:r>
      <w:r>
        <w:rPr>
          <w:rFonts w:cs="Arial"/>
          <w:szCs w:val="22"/>
        </w:rPr>
        <w:t xml:space="preserve"> </w:t>
      </w:r>
      <w:r w:rsidR="006D67D3">
        <w:rPr>
          <w:rFonts w:cs="Arial"/>
          <w:szCs w:val="22"/>
        </w:rPr>
        <w:t>varies by species, but in most cases is from 7 to 30 days</w:t>
      </w:r>
      <w:r>
        <w:rPr>
          <w:rFonts w:cs="Arial"/>
          <w:szCs w:val="22"/>
        </w:rPr>
        <w:t xml:space="preserve">. </w:t>
      </w:r>
    </w:p>
    <w:p w14:paraId="61B4D6CB" w14:textId="77777777" w:rsidR="006263EB" w:rsidRPr="00AF2CAE" w:rsidRDefault="006263EB" w:rsidP="006263EB">
      <w:pPr>
        <w:rPr>
          <w:rFonts w:cs="Arial"/>
          <w:sz w:val="20"/>
        </w:rPr>
      </w:pPr>
    </w:p>
    <w:p w14:paraId="71A101B6" w14:textId="7F70760B" w:rsidR="007A5B12" w:rsidRDefault="006263EB" w:rsidP="006263EB">
      <w:pPr>
        <w:rPr>
          <w:rFonts w:cs="Arial"/>
          <w:szCs w:val="22"/>
        </w:rPr>
      </w:pPr>
      <w:r w:rsidRPr="008618CB">
        <w:rPr>
          <w:rFonts w:cs="Arial"/>
          <w:b/>
          <w:szCs w:val="22"/>
        </w:rPr>
        <w:t>Clinical Presentation:</w:t>
      </w:r>
      <w:r>
        <w:rPr>
          <w:rFonts w:cs="Arial"/>
          <w:szCs w:val="22"/>
        </w:rPr>
        <w:t xml:space="preserve"> </w:t>
      </w:r>
      <w:r w:rsidR="004E7FAA">
        <w:rPr>
          <w:rFonts w:cs="Arial"/>
          <w:szCs w:val="22"/>
        </w:rPr>
        <w:t xml:space="preserve">Malaria is characterized by </w:t>
      </w:r>
      <w:r w:rsidR="009E0281">
        <w:rPr>
          <w:rFonts w:cs="Arial"/>
          <w:szCs w:val="22"/>
        </w:rPr>
        <w:t>flu-like symptoms including fever, nausea and vomiting, diarrhea, headache, and myalgia.</w:t>
      </w:r>
      <w:r w:rsidR="000A100B">
        <w:rPr>
          <w:rFonts w:cs="Arial"/>
          <w:szCs w:val="22"/>
        </w:rPr>
        <w:t xml:space="preserve"> </w:t>
      </w:r>
      <w:r w:rsidR="006937CB">
        <w:rPr>
          <w:rFonts w:cs="Arial"/>
        </w:rPr>
        <w:t xml:space="preserve">Anemia, thrombocytopenia, elevation of bilirubin, and elevation of aminotransferases may also be seen. </w:t>
      </w:r>
      <w:r w:rsidR="000A100B">
        <w:rPr>
          <w:rFonts w:cs="Arial"/>
          <w:szCs w:val="22"/>
        </w:rPr>
        <w:t xml:space="preserve">Symptoms of severe malaria </w:t>
      </w:r>
      <w:r w:rsidR="009D4E01">
        <w:rPr>
          <w:rFonts w:cs="Arial"/>
          <w:szCs w:val="22"/>
        </w:rPr>
        <w:t>i</w:t>
      </w:r>
      <w:r w:rsidR="000A100B">
        <w:rPr>
          <w:rFonts w:cs="Arial"/>
          <w:szCs w:val="22"/>
        </w:rPr>
        <w:t xml:space="preserve">nclude seizures, mental confusion, </w:t>
      </w:r>
      <w:r w:rsidR="009D4E01">
        <w:rPr>
          <w:rFonts w:cs="Arial"/>
          <w:szCs w:val="22"/>
        </w:rPr>
        <w:t>hemoglobin</w:t>
      </w:r>
      <w:r w:rsidR="00D77DC9">
        <w:rPr>
          <w:rFonts w:cs="Arial"/>
          <w:szCs w:val="22"/>
        </w:rPr>
        <w:t>ur</w:t>
      </w:r>
      <w:r w:rsidR="009D4E01">
        <w:rPr>
          <w:rFonts w:cs="Arial"/>
          <w:szCs w:val="22"/>
        </w:rPr>
        <w:t xml:space="preserve">ia, </w:t>
      </w:r>
      <w:r w:rsidR="000A100B">
        <w:rPr>
          <w:rFonts w:cs="Arial"/>
          <w:szCs w:val="22"/>
        </w:rPr>
        <w:t>kidney failure, acute respiratory distress syndrome, co</w:t>
      </w:r>
      <w:r w:rsidR="009D4E01">
        <w:rPr>
          <w:rFonts w:cs="Arial"/>
          <w:szCs w:val="22"/>
        </w:rPr>
        <w:t xml:space="preserve">ma, and parasitemia &gt;5%. </w:t>
      </w:r>
    </w:p>
    <w:p w14:paraId="48CB8666" w14:textId="77777777" w:rsidR="007A5B12" w:rsidRDefault="007A5B12" w:rsidP="006263EB">
      <w:pPr>
        <w:rPr>
          <w:rFonts w:cs="Arial"/>
          <w:szCs w:val="22"/>
        </w:rPr>
      </w:pPr>
    </w:p>
    <w:p w14:paraId="42EFC475" w14:textId="5D35B6A1" w:rsidR="000A100B" w:rsidRDefault="00E33787" w:rsidP="006263EB">
      <w:pPr>
        <w:rPr>
          <w:rFonts w:cs="Arial"/>
          <w:szCs w:val="22"/>
        </w:rPr>
      </w:pPr>
      <w:r w:rsidRPr="00D131D7">
        <w:rPr>
          <w:rFonts w:cs="Arial"/>
          <w:b/>
          <w:szCs w:val="22"/>
        </w:rPr>
        <w:t>Treatment</w:t>
      </w:r>
      <w:r w:rsidRPr="00512854">
        <w:rPr>
          <w:rFonts w:cs="Arial"/>
          <w:bCs/>
          <w:szCs w:val="22"/>
        </w:rPr>
        <w:t xml:space="preserve"> should be guided by the infecting species,</w:t>
      </w:r>
      <w:r>
        <w:rPr>
          <w:rFonts w:cs="Arial"/>
          <w:b/>
          <w:szCs w:val="22"/>
        </w:rPr>
        <w:t xml:space="preserve"> </w:t>
      </w:r>
      <w:r w:rsidRPr="00512854">
        <w:rPr>
          <w:rFonts w:cs="Arial"/>
          <w:bCs/>
          <w:szCs w:val="22"/>
        </w:rPr>
        <w:t>clinical status of the patient, drug susceptibility as determined by the geographic area where exposed, and previous use of antimalarials.</w:t>
      </w:r>
      <w:r>
        <w:rPr>
          <w:rFonts w:cs="Arial"/>
          <w:b/>
          <w:szCs w:val="22"/>
        </w:rPr>
        <w:t xml:space="preserve"> </w:t>
      </w:r>
      <w:r w:rsidR="00512854">
        <w:rPr>
          <w:rFonts w:cs="Arial"/>
          <w:szCs w:val="22"/>
        </w:rPr>
        <w:t xml:space="preserve">Information on malaria treatment is available at: </w:t>
      </w:r>
      <w:hyperlink r:id="rId9" w:history="1">
        <w:r w:rsidR="00D131D7">
          <w:rPr>
            <w:rStyle w:val="Hyperlink"/>
            <w:rFonts w:cs="Arial"/>
            <w:szCs w:val="22"/>
          </w:rPr>
          <w:t>www.cdc.gov/malaria/diagnosis_treatment/clinicians1.html</w:t>
        </w:r>
      </w:hyperlink>
      <w:r w:rsidR="00512854">
        <w:rPr>
          <w:rFonts w:cs="Arial"/>
          <w:szCs w:val="22"/>
        </w:rPr>
        <w:t xml:space="preserve">. </w:t>
      </w:r>
      <w:r w:rsidR="009D4E01" w:rsidRPr="007A5B12">
        <w:rPr>
          <w:rFonts w:cs="Arial"/>
          <w:b/>
          <w:szCs w:val="22"/>
        </w:rPr>
        <w:t>Intravenous artesunate</w:t>
      </w:r>
      <w:r w:rsidR="009D4E01">
        <w:rPr>
          <w:rFonts w:cs="Arial"/>
          <w:szCs w:val="22"/>
        </w:rPr>
        <w:t xml:space="preserve"> </w:t>
      </w:r>
      <w:r w:rsidR="00D131D7">
        <w:rPr>
          <w:rFonts w:cs="Arial"/>
          <w:szCs w:val="22"/>
        </w:rPr>
        <w:t>is the only</w:t>
      </w:r>
      <w:r w:rsidR="007A5B12">
        <w:rPr>
          <w:rFonts w:cs="Arial"/>
          <w:szCs w:val="22"/>
        </w:rPr>
        <w:t xml:space="preserve"> treatment option for patients with severe malaria</w:t>
      </w:r>
      <w:r w:rsidR="00D131D7">
        <w:rPr>
          <w:rFonts w:cs="Arial"/>
          <w:szCs w:val="22"/>
        </w:rPr>
        <w:t xml:space="preserve"> and</w:t>
      </w:r>
      <w:r w:rsidR="00D65FE2" w:rsidRPr="00D65FE2">
        <w:rPr>
          <w:rFonts w:cs="Arial"/>
          <w:szCs w:val="22"/>
        </w:rPr>
        <w:t xml:space="preserve"> is available commercially for treatment of malaria</w:t>
      </w:r>
      <w:r w:rsidR="00D65FE2">
        <w:rPr>
          <w:rFonts w:cs="Arial"/>
          <w:szCs w:val="22"/>
        </w:rPr>
        <w:t>.</w:t>
      </w:r>
      <w:r w:rsidR="00512854">
        <w:rPr>
          <w:rFonts w:cs="Arial"/>
          <w:szCs w:val="22"/>
        </w:rPr>
        <w:t xml:space="preserve"> </w:t>
      </w:r>
      <w:r w:rsidR="00512854" w:rsidRPr="00512854">
        <w:rPr>
          <w:rFonts w:cs="Arial"/>
          <w:szCs w:val="22"/>
        </w:rPr>
        <w:t>The hospital pharmacist should call</w:t>
      </w:r>
      <w:r w:rsidR="00512854">
        <w:rPr>
          <w:rFonts w:cs="Arial"/>
          <w:szCs w:val="22"/>
        </w:rPr>
        <w:t xml:space="preserve"> </w:t>
      </w:r>
      <w:r w:rsidR="00512854" w:rsidRPr="00512854">
        <w:rPr>
          <w:rFonts w:cs="Arial"/>
          <w:szCs w:val="22"/>
        </w:rPr>
        <w:t>1-855-526-4827 to identify the closest distributor for a patient emergency.</w:t>
      </w:r>
      <w:r w:rsidR="009A16F1">
        <w:rPr>
          <w:rFonts w:cs="Arial"/>
          <w:szCs w:val="22"/>
        </w:rPr>
        <w:t xml:space="preserve"> To eradicate the dormant forms of </w:t>
      </w:r>
      <w:r w:rsidR="009A16F1" w:rsidRPr="00512854">
        <w:rPr>
          <w:rFonts w:cs="Arial"/>
          <w:i/>
          <w:iCs/>
          <w:szCs w:val="22"/>
        </w:rPr>
        <w:t>P. vivax</w:t>
      </w:r>
      <w:r w:rsidR="009A16F1">
        <w:rPr>
          <w:rFonts w:cs="Arial"/>
          <w:szCs w:val="22"/>
        </w:rPr>
        <w:t xml:space="preserve"> and </w:t>
      </w:r>
      <w:r w:rsidR="009A16F1" w:rsidRPr="00512854">
        <w:rPr>
          <w:rFonts w:cs="Arial"/>
          <w:i/>
          <w:iCs/>
          <w:szCs w:val="22"/>
        </w:rPr>
        <w:t>P. ovale</w:t>
      </w:r>
      <w:r w:rsidR="009A16F1">
        <w:rPr>
          <w:rFonts w:cs="Arial"/>
          <w:szCs w:val="22"/>
        </w:rPr>
        <w:t xml:space="preserve">, primaquine phosphate or tafenoquine should also be given. G6PD testing should occur prior </w:t>
      </w:r>
      <w:bookmarkStart w:id="0" w:name="_Hlk136587484"/>
      <w:r w:rsidR="009A16F1">
        <w:rPr>
          <w:rFonts w:cs="Arial"/>
          <w:szCs w:val="22"/>
        </w:rPr>
        <w:t xml:space="preserve">to administering these drugs as they may cause hemolytic anemia in persons with a G6PD deficiency. </w:t>
      </w:r>
      <w:bookmarkEnd w:id="0"/>
    </w:p>
    <w:p w14:paraId="03508856" w14:textId="77777777" w:rsidR="000A100B" w:rsidRDefault="000A100B" w:rsidP="006263EB">
      <w:pPr>
        <w:rPr>
          <w:rFonts w:cs="Arial"/>
          <w:szCs w:val="22"/>
        </w:rPr>
      </w:pPr>
    </w:p>
    <w:p w14:paraId="7DFE6C67" w14:textId="77777777" w:rsidR="0024485A" w:rsidRPr="0024485A" w:rsidRDefault="0024485A" w:rsidP="006263EB">
      <w:pPr>
        <w:rPr>
          <w:rFonts w:cs="Arial"/>
          <w:szCs w:val="22"/>
        </w:rPr>
      </w:pPr>
      <w:r>
        <w:rPr>
          <w:rFonts w:cs="Arial"/>
          <w:b/>
          <w:szCs w:val="22"/>
        </w:rPr>
        <w:t xml:space="preserve">Malaria prevention </w:t>
      </w:r>
      <w:r>
        <w:rPr>
          <w:rFonts w:cs="Arial"/>
          <w:szCs w:val="22"/>
        </w:rPr>
        <w:t xml:space="preserve">consists of mosquito avoidance measures and chemoprophylaxis. An individual risk assessment should be conducted for each traveler to determine risk and appropriate prevention strategies. </w:t>
      </w:r>
    </w:p>
    <w:p w14:paraId="24919AD7" w14:textId="77777777" w:rsidR="006263EB" w:rsidRDefault="006263EB" w:rsidP="006263EB">
      <w:pPr>
        <w:rPr>
          <w:rFonts w:cs="Arial"/>
          <w:szCs w:val="22"/>
        </w:rPr>
      </w:pPr>
    </w:p>
    <w:p w14:paraId="00EDE17B" w14:textId="1F788CBD" w:rsidR="006263EB" w:rsidRPr="00B814B5" w:rsidRDefault="006263EB" w:rsidP="0317742A">
      <w:pPr>
        <w:rPr>
          <w:rFonts w:cs="Arial"/>
          <w:b/>
          <w:bCs/>
        </w:rPr>
      </w:pPr>
      <w:r w:rsidRPr="0317742A">
        <w:rPr>
          <w:rFonts w:cs="Arial"/>
          <w:b/>
          <w:bCs/>
        </w:rPr>
        <w:t>Laboratory testing</w:t>
      </w:r>
      <w:r w:rsidR="007A5B12" w:rsidRPr="0317742A">
        <w:rPr>
          <w:rFonts w:cs="Arial"/>
          <w:b/>
          <w:bCs/>
        </w:rPr>
        <w:t xml:space="preserve">: </w:t>
      </w:r>
      <w:r w:rsidR="007A5B12" w:rsidRPr="0317742A">
        <w:rPr>
          <w:rFonts w:cs="Arial"/>
        </w:rPr>
        <w:t xml:space="preserve">Smear microscopy is the gold standard for malaria diagnosis. </w:t>
      </w:r>
      <w:r w:rsidR="00836BD1" w:rsidRPr="0317742A">
        <w:rPr>
          <w:rFonts w:cs="Arial"/>
        </w:rPr>
        <w:t xml:space="preserve">Microscopy results should be available within a few hours. If microscopy is not immediately available, the rapid diagnostic test BinaxNOW should be used. Both positive and negative rapid test results should be confirmed by microscopy. </w:t>
      </w:r>
      <w:r w:rsidR="00C97E04" w:rsidRPr="0317742A">
        <w:rPr>
          <w:rFonts w:cs="Arial"/>
        </w:rPr>
        <w:t>Polymerase chain reaction testing</w:t>
      </w:r>
      <w:r w:rsidR="00E33787" w:rsidRPr="0317742A">
        <w:rPr>
          <w:rFonts w:cs="Arial"/>
        </w:rPr>
        <w:t xml:space="preserve"> may also be useful to confirm the species after the diagnosis has been made by microscopy. </w:t>
      </w:r>
      <w:r w:rsidR="007A3900" w:rsidRPr="0317742A">
        <w:rPr>
          <w:rFonts w:cs="Arial"/>
        </w:rPr>
        <w:t xml:space="preserve">Additional laboratory findings may include mild anemia, mild decrease in blood platelets (thrombocytopenia), elevation of bilirubin, and elevation of aminotransferases. </w:t>
      </w:r>
      <w:r w:rsidR="007E7EB2" w:rsidRPr="0317742A">
        <w:rPr>
          <w:rFonts w:cs="Arial"/>
        </w:rPr>
        <w:t>Your</w:t>
      </w:r>
      <w:r w:rsidRPr="0317742A">
        <w:rPr>
          <w:rFonts w:cs="Arial"/>
        </w:rPr>
        <w:t xml:space="preserve"> County Health Department can provide guidance on how and when to submit samples to the </w:t>
      </w:r>
      <w:r w:rsidR="003775D0" w:rsidRPr="0317742A">
        <w:rPr>
          <w:rFonts w:cs="Arial"/>
        </w:rPr>
        <w:t xml:space="preserve">Florida </w:t>
      </w:r>
      <w:r w:rsidRPr="0317742A">
        <w:rPr>
          <w:rFonts w:cs="Arial"/>
        </w:rPr>
        <w:t>Department of Health</w:t>
      </w:r>
      <w:r w:rsidR="000E4674" w:rsidRPr="0317742A">
        <w:rPr>
          <w:rFonts w:cs="Arial"/>
        </w:rPr>
        <w:t>,</w:t>
      </w:r>
      <w:r w:rsidRPr="0317742A">
        <w:rPr>
          <w:rFonts w:cs="Arial"/>
        </w:rPr>
        <w:t xml:space="preserve"> Bureau of Public Health Laboratories.</w:t>
      </w:r>
    </w:p>
    <w:p w14:paraId="40EFE813" w14:textId="77777777" w:rsidR="006263EB" w:rsidRDefault="006263EB" w:rsidP="006263EB">
      <w:pPr>
        <w:pStyle w:val="Title"/>
        <w:rPr>
          <w:rFonts w:cs="Arial"/>
          <w:szCs w:val="22"/>
        </w:rPr>
      </w:pPr>
    </w:p>
    <w:p w14:paraId="4EA70A2D" w14:textId="77777777" w:rsidR="009B4B8D" w:rsidRDefault="009B4B8D" w:rsidP="009B4B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Resources: </w:t>
      </w:r>
    </w:p>
    <w:p w14:paraId="793E4D84" w14:textId="77777777" w:rsidR="00231990" w:rsidRPr="009F1860" w:rsidRDefault="00231990" w:rsidP="00231990">
      <w:pPr>
        <w:autoSpaceDE w:val="0"/>
        <w:autoSpaceDN w:val="0"/>
        <w:adjustRightInd w:val="0"/>
        <w:rPr>
          <w:rFonts w:cs="Arial"/>
          <w:color w:val="FF0000"/>
          <w:sz w:val="21"/>
          <w:szCs w:val="21"/>
        </w:rPr>
      </w:pPr>
      <w:r w:rsidRPr="009F1860">
        <w:rPr>
          <w:rFonts w:cs="Arial"/>
          <w:color w:val="FF0000"/>
          <w:sz w:val="21"/>
          <w:szCs w:val="21"/>
        </w:rPr>
        <w:t xml:space="preserve">Florida Department of Health in XXXX County: phone number </w:t>
      </w:r>
    </w:p>
    <w:p w14:paraId="756C6459" w14:textId="145D477D" w:rsidR="006263EB" w:rsidRDefault="009B4B8D" w:rsidP="009B4B8D">
      <w:pPr>
        <w:ind w:right="-540"/>
        <w:rPr>
          <w:szCs w:val="22"/>
        </w:rPr>
      </w:pPr>
      <w:r w:rsidRPr="0052574B">
        <w:rPr>
          <w:szCs w:val="22"/>
        </w:rPr>
        <w:t xml:space="preserve">Centers for Disease Control and Prevention: </w:t>
      </w:r>
      <w:hyperlink r:id="rId10" w:history="1">
        <w:r w:rsidR="006937CB">
          <w:rPr>
            <w:rStyle w:val="Hyperlink"/>
            <w:szCs w:val="22"/>
          </w:rPr>
          <w:t>www.cdc.gov/malaria/index.html</w:t>
        </w:r>
      </w:hyperlink>
    </w:p>
    <w:p w14:paraId="212FEFA0" w14:textId="479E2DAB" w:rsidR="00D131D7" w:rsidRDefault="006937CB" w:rsidP="009B4B8D">
      <w:pPr>
        <w:ind w:right="-540"/>
        <w:rPr>
          <w:szCs w:val="22"/>
        </w:rPr>
      </w:pPr>
      <w:r>
        <w:rPr>
          <w:szCs w:val="22"/>
        </w:rPr>
        <w:t xml:space="preserve">Malaria 101 </w:t>
      </w:r>
      <w:r w:rsidR="00EC1CE3">
        <w:rPr>
          <w:szCs w:val="22"/>
        </w:rPr>
        <w:t xml:space="preserve">Training </w:t>
      </w:r>
      <w:r>
        <w:rPr>
          <w:szCs w:val="22"/>
        </w:rPr>
        <w:t xml:space="preserve">for Health Care Providers (CME): </w:t>
      </w:r>
      <w:hyperlink r:id="rId11" w:history="1">
        <w:r>
          <w:rPr>
            <w:rStyle w:val="Hyperlink"/>
            <w:szCs w:val="22"/>
          </w:rPr>
          <w:t>www.cdc.gov/parasites/cme/malaria/index.html</w:t>
        </w:r>
      </w:hyperlink>
      <w:r>
        <w:rPr>
          <w:szCs w:val="22"/>
        </w:rPr>
        <w:t xml:space="preserve"> </w:t>
      </w:r>
    </w:p>
    <w:p w14:paraId="5A52B2DA" w14:textId="35AFCBF5" w:rsidR="0024485A" w:rsidRPr="0052574B" w:rsidRDefault="0024485A" w:rsidP="009B4B8D">
      <w:pPr>
        <w:ind w:right="-540"/>
        <w:rPr>
          <w:rFonts w:cs="Arial"/>
          <w:b/>
          <w:sz w:val="24"/>
          <w:szCs w:val="24"/>
        </w:rPr>
      </w:pPr>
      <w:r>
        <w:rPr>
          <w:rFonts w:cs="Arial"/>
          <w:szCs w:val="22"/>
        </w:rPr>
        <w:t xml:space="preserve">CDC Malaria Hotline: (770) 488-7788 (M-F, </w:t>
      </w:r>
      <w:r w:rsidR="00C97E04">
        <w:rPr>
          <w:rFonts w:cs="Arial"/>
          <w:szCs w:val="22"/>
        </w:rPr>
        <w:t>9</w:t>
      </w:r>
      <w:r>
        <w:rPr>
          <w:rFonts w:cs="Arial"/>
          <w:szCs w:val="22"/>
        </w:rPr>
        <w:t>am-</w:t>
      </w:r>
      <w:r w:rsidR="00C97E04">
        <w:rPr>
          <w:rFonts w:cs="Arial"/>
          <w:szCs w:val="22"/>
        </w:rPr>
        <w:t>5</w:t>
      </w:r>
      <w:r>
        <w:rPr>
          <w:rFonts w:cs="Arial"/>
          <w:szCs w:val="22"/>
        </w:rPr>
        <w:t>pm eastern), (770) 488-7100 (after hours)</w:t>
      </w:r>
    </w:p>
    <w:sectPr w:rsidR="0024485A" w:rsidRPr="0052574B" w:rsidSect="00BC0A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845"/>
    <w:multiLevelType w:val="hybridMultilevel"/>
    <w:tmpl w:val="FE64DB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608"/>
    <w:multiLevelType w:val="hybridMultilevel"/>
    <w:tmpl w:val="55AC1B4E"/>
    <w:lvl w:ilvl="0" w:tplc="852ECF0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5C49B1"/>
    <w:multiLevelType w:val="hybridMultilevel"/>
    <w:tmpl w:val="30BA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6D9D"/>
    <w:multiLevelType w:val="hybridMultilevel"/>
    <w:tmpl w:val="A524F20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8B41E5A"/>
    <w:multiLevelType w:val="hybridMultilevel"/>
    <w:tmpl w:val="1A188A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53321341">
    <w:abstractNumId w:val="1"/>
  </w:num>
  <w:num w:numId="2" w16cid:durableId="616445354">
    <w:abstractNumId w:val="4"/>
  </w:num>
  <w:num w:numId="3" w16cid:durableId="1346905653">
    <w:abstractNumId w:val="3"/>
  </w:num>
  <w:num w:numId="4" w16cid:durableId="644817904">
    <w:abstractNumId w:val="2"/>
  </w:num>
  <w:num w:numId="5" w16cid:durableId="124390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EB"/>
    <w:rsid w:val="000A100B"/>
    <w:rsid w:val="000E4674"/>
    <w:rsid w:val="00146BC6"/>
    <w:rsid w:val="00231990"/>
    <w:rsid w:val="0024485A"/>
    <w:rsid w:val="002A4F3E"/>
    <w:rsid w:val="003417E7"/>
    <w:rsid w:val="00353337"/>
    <w:rsid w:val="003775D0"/>
    <w:rsid w:val="004858D0"/>
    <w:rsid w:val="004A1527"/>
    <w:rsid w:val="004A4CFA"/>
    <w:rsid w:val="004E4DF2"/>
    <w:rsid w:val="004E7FAA"/>
    <w:rsid w:val="00512854"/>
    <w:rsid w:val="0052574B"/>
    <w:rsid w:val="00612404"/>
    <w:rsid w:val="006263EB"/>
    <w:rsid w:val="00652E05"/>
    <w:rsid w:val="006937CB"/>
    <w:rsid w:val="006D67D3"/>
    <w:rsid w:val="007A3900"/>
    <w:rsid w:val="007A5B12"/>
    <w:rsid w:val="007C4A9A"/>
    <w:rsid w:val="007E7EB2"/>
    <w:rsid w:val="00836BD1"/>
    <w:rsid w:val="008936EA"/>
    <w:rsid w:val="008952BD"/>
    <w:rsid w:val="00912613"/>
    <w:rsid w:val="0096161C"/>
    <w:rsid w:val="009A16F1"/>
    <w:rsid w:val="009B4B8D"/>
    <w:rsid w:val="009D4E01"/>
    <w:rsid w:val="009E0281"/>
    <w:rsid w:val="00A67B3B"/>
    <w:rsid w:val="00A72FCC"/>
    <w:rsid w:val="00B311AB"/>
    <w:rsid w:val="00B9351C"/>
    <w:rsid w:val="00BC0A23"/>
    <w:rsid w:val="00C46276"/>
    <w:rsid w:val="00C568C9"/>
    <w:rsid w:val="00C7436B"/>
    <w:rsid w:val="00C97E04"/>
    <w:rsid w:val="00CB2A4B"/>
    <w:rsid w:val="00D01931"/>
    <w:rsid w:val="00D131D7"/>
    <w:rsid w:val="00D3630B"/>
    <w:rsid w:val="00D65FE2"/>
    <w:rsid w:val="00D77DC9"/>
    <w:rsid w:val="00E00DA8"/>
    <w:rsid w:val="00E33787"/>
    <w:rsid w:val="00EC1CE3"/>
    <w:rsid w:val="00EE0F6E"/>
    <w:rsid w:val="00FC3186"/>
    <w:rsid w:val="00FD5092"/>
    <w:rsid w:val="031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A9E9"/>
  <w15:docId w15:val="{A2B46FCD-BDF8-4C2C-A9FD-D3FE3BF4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3E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63EB"/>
    <w:pPr>
      <w:tabs>
        <w:tab w:val="left" w:pos="117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263EB"/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semiHidden/>
    <w:rsid w:val="006263EB"/>
    <w:rPr>
      <w:sz w:val="16"/>
    </w:rPr>
  </w:style>
  <w:style w:type="paragraph" w:styleId="CommentText">
    <w:name w:val="annotation text"/>
    <w:basedOn w:val="Normal"/>
    <w:link w:val="CommentTextChar"/>
    <w:semiHidden/>
    <w:rsid w:val="006263EB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63E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E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6263EB"/>
    <w:rPr>
      <w:color w:val="0000FF"/>
      <w:u w:val="single"/>
    </w:rPr>
  </w:style>
  <w:style w:type="paragraph" w:customStyle="1" w:styleId="Default">
    <w:name w:val="Default"/>
    <w:rsid w:val="006263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A4F3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F3E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F3E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12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parasites/cme/malaria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dc.gov/malaria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dc.gov/malaria/diagnosis_treatment/clinicians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AF8F293EE8245AC2E6E33DEC98B27" ma:contentTypeVersion="16" ma:contentTypeDescription="Create a new document." ma:contentTypeScope="" ma:versionID="c28279dcce72c60bde74d82f04fafb07">
  <xsd:schema xmlns:xsd="http://www.w3.org/2001/XMLSchema" xmlns:xs="http://www.w3.org/2001/XMLSchema" xmlns:p="http://schemas.microsoft.com/office/2006/metadata/properties" xmlns:ns2="cdeb1db1-60ad-4401-8ba9-dac2fe974a79" xmlns:ns3="d3b973a8-a900-4fa6-85ff-98380458e06b" xmlns:ns4="eaf765fc-850b-4e2f-ba01-19515f236c5f" targetNamespace="http://schemas.microsoft.com/office/2006/metadata/properties" ma:root="true" ma:fieldsID="500873fba6521599649917f8503e2041" ns2:_="" ns3:_="" ns4:_="">
    <xsd:import namespace="cdeb1db1-60ad-4401-8ba9-dac2fe974a79"/>
    <xsd:import namespace="d3b973a8-a900-4fa6-85ff-98380458e06b"/>
    <xsd:import namespace="eaf765fc-850b-4e2f-ba01-19515f236c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b1db1-60ad-4401-8ba9-dac2fe97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973a8-a900-4fa6-85ff-98380458e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9fdc75-9c75-4787-9baf-3cc406344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765fc-850b-4e2f-ba01-19515f236c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b517239-9960-41f0-b67c-39e06fe2a53b}" ma:internalName="TaxCatchAll" ma:showField="CatchAllData" ma:web="cdeb1db1-60ad-4401-8ba9-dac2fe97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185D8-C383-4E70-B815-D33B45B94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b1db1-60ad-4401-8ba9-dac2fe974a79"/>
    <ds:schemaRef ds:uri="d3b973a8-a900-4fa6-85ff-98380458e06b"/>
    <ds:schemaRef ds:uri="eaf765fc-850b-4e2f-ba01-19515f236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B6A9C-A1CD-4792-B2F2-D63D3CBC8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C813A-EF30-4F16-838A-EAB1410BF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Andrea</dc:creator>
  <cp:keywords/>
  <cp:lastModifiedBy>Morrison, Andrea</cp:lastModifiedBy>
  <cp:revision>5</cp:revision>
  <dcterms:created xsi:type="dcterms:W3CDTF">2023-06-02T12:42:00Z</dcterms:created>
  <dcterms:modified xsi:type="dcterms:W3CDTF">2023-06-02T13:04:00Z</dcterms:modified>
</cp:coreProperties>
</file>